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99B" w:rsidRDefault="00A6499B" w:rsidP="00A6499B">
      <w:pPr>
        <w:pStyle w:val="tablepocp0"/>
        <w:spacing w:before="0" w:beforeAutospacing="0" w:after="0" w:afterAutospacing="0"/>
        <w:jc w:val="center"/>
        <w:rPr>
          <w:rFonts w:ascii="Arial" w:hAnsi="Arial" w:cs="Arial"/>
          <w:color w:val="000000"/>
          <w:sz w:val="16"/>
          <w:szCs w:val="16"/>
        </w:rPr>
      </w:pPr>
      <w:r>
        <w:rPr>
          <w:rFonts w:ascii="Arial" w:hAnsi="Arial" w:cs="Arial"/>
          <w:b/>
          <w:bCs/>
          <w:color w:val="000000"/>
          <w:sz w:val="16"/>
          <w:szCs w:val="16"/>
          <w:shd w:val="clear" w:color="auto" w:fill="FFFFFF"/>
        </w:rPr>
        <w:t>RESOLUÇÃO Nº 19/2018</w:t>
      </w:r>
    </w:p>
    <w:p w:rsidR="00A6499B" w:rsidRDefault="00A6499B" w:rsidP="00A6499B">
      <w:pPr>
        <w:pStyle w:val="tablepocp0"/>
        <w:spacing w:before="0" w:beforeAutospacing="0" w:after="0" w:afterAutospacing="0"/>
        <w:jc w:val="both"/>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ind w:firstLine="254"/>
        <w:jc w:val="both"/>
        <w:rPr>
          <w:rFonts w:ascii="Arial" w:hAnsi="Arial" w:cs="Arial"/>
          <w:color w:val="000000"/>
          <w:sz w:val="16"/>
          <w:szCs w:val="16"/>
        </w:rPr>
      </w:pPr>
      <w:r>
        <w:rPr>
          <w:rFonts w:ascii="Arial" w:hAnsi="Arial" w:cs="Arial"/>
          <w:b/>
          <w:bCs/>
          <w:color w:val="000000"/>
          <w:sz w:val="16"/>
          <w:szCs w:val="16"/>
          <w:shd w:val="clear" w:color="auto" w:fill="FFFFFF"/>
        </w:rPr>
        <w:t>O CONSELHO ESTADUAL DE SAÚDE DE MATO GROSSO</w:t>
      </w:r>
      <w:r>
        <w:rPr>
          <w:rFonts w:ascii="Arial" w:hAnsi="Arial" w:cs="Arial"/>
          <w:color w:val="000000"/>
          <w:sz w:val="16"/>
          <w:szCs w:val="16"/>
          <w:shd w:val="clear" w:color="auto" w:fill="FFFFFF"/>
        </w:rPr>
        <w:t>, no uso de suas atribuições legais que lhe confere a Lei Complementar Nº 22, de 09 de novembro de 1992, que institui o Código Estadual de Saúde;</w:t>
      </w:r>
    </w:p>
    <w:p w:rsidR="00A6499B" w:rsidRDefault="00A6499B" w:rsidP="00A6499B">
      <w:pPr>
        <w:pStyle w:val="tablepocp0"/>
        <w:spacing w:before="0" w:beforeAutospacing="0" w:after="0" w:afterAutospacing="0"/>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ind w:firstLine="254"/>
        <w:jc w:val="both"/>
        <w:rPr>
          <w:rFonts w:ascii="Arial" w:hAnsi="Arial" w:cs="Arial"/>
          <w:color w:val="000000"/>
          <w:sz w:val="16"/>
          <w:szCs w:val="16"/>
        </w:rPr>
      </w:pPr>
      <w:r>
        <w:rPr>
          <w:rFonts w:ascii="Arial" w:hAnsi="Arial" w:cs="Arial"/>
          <w:color w:val="000000"/>
          <w:sz w:val="16"/>
          <w:szCs w:val="16"/>
          <w:shd w:val="clear" w:color="auto" w:fill="FFFFFF"/>
        </w:rPr>
        <w:t>Considerando a implantação do Sistema de Ponto Eletrônico pela Portaria n° 40/2014/SAD, publicada no Diário Oficial do Estado do dia 30 de maio de 2014, que utiliza mecanismo eletrônico e biométrico de identificação por meio de reconhecimento da impressão digital do servidor, configurando um sistema mais eficiente e confiável de controle de assiduidade e pontualidade;</w:t>
      </w:r>
    </w:p>
    <w:p w:rsidR="00A6499B" w:rsidRDefault="00A6499B" w:rsidP="00A6499B">
      <w:pPr>
        <w:pStyle w:val="tablepocp0"/>
        <w:spacing w:before="0" w:beforeAutospacing="0" w:after="0" w:afterAutospacing="0"/>
        <w:ind w:firstLine="254"/>
        <w:jc w:val="both"/>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ind w:firstLine="254"/>
        <w:jc w:val="both"/>
        <w:rPr>
          <w:rFonts w:ascii="Arial" w:hAnsi="Arial" w:cs="Arial"/>
          <w:color w:val="000000"/>
          <w:sz w:val="16"/>
          <w:szCs w:val="16"/>
        </w:rPr>
      </w:pPr>
      <w:r>
        <w:rPr>
          <w:rFonts w:ascii="Arial" w:hAnsi="Arial" w:cs="Arial"/>
          <w:color w:val="000000"/>
          <w:sz w:val="16"/>
          <w:szCs w:val="16"/>
          <w:shd w:val="clear" w:color="auto" w:fill="FFFFFF"/>
        </w:rPr>
        <w:t>Considerando o Decreto nº 01, de 02 de janeiro de 2019, que conferiu autoridade aos dirigentes máximos para fixar o expediente no âmbito dos respectivos órgãos e entidades da Administração Pública Direta e Indireta do poder Executivo Estadual;</w:t>
      </w:r>
    </w:p>
    <w:p w:rsidR="00A6499B" w:rsidRDefault="00A6499B" w:rsidP="00A6499B">
      <w:pPr>
        <w:pStyle w:val="tablepocp0"/>
        <w:spacing w:before="0" w:beforeAutospacing="0" w:after="0" w:afterAutospacing="0"/>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ind w:firstLine="254"/>
        <w:jc w:val="both"/>
        <w:rPr>
          <w:rFonts w:ascii="Arial" w:hAnsi="Arial" w:cs="Arial"/>
          <w:color w:val="000000"/>
          <w:sz w:val="16"/>
          <w:szCs w:val="16"/>
        </w:rPr>
      </w:pPr>
      <w:r>
        <w:rPr>
          <w:rFonts w:ascii="Arial" w:hAnsi="Arial" w:cs="Arial"/>
          <w:color w:val="000000"/>
          <w:sz w:val="16"/>
          <w:szCs w:val="16"/>
          <w:shd w:val="clear" w:color="auto" w:fill="FFFFFF"/>
        </w:rPr>
        <w:t>Considerado a Portaria nº 012/2018/GBSES, de 29 de janeiro de 2018, que trata do controle de frequência e assiduidade dos servidores da Secretaria de Estado de Saúde - SES/MT e a Portaria nº 017/2019/GBSES, de 29 de janeiro de 2019, que dispõe sobre o horário de expediente na Secretaria de Estado - SES/MT;</w:t>
      </w:r>
    </w:p>
    <w:p w:rsidR="00A6499B" w:rsidRDefault="00A6499B" w:rsidP="00A6499B">
      <w:pPr>
        <w:pStyle w:val="tablepocp0"/>
        <w:spacing w:before="0" w:beforeAutospacing="0" w:after="0" w:afterAutospacing="0"/>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ind w:firstLine="254"/>
        <w:jc w:val="both"/>
        <w:rPr>
          <w:rFonts w:ascii="Arial" w:hAnsi="Arial" w:cs="Arial"/>
          <w:color w:val="000000"/>
          <w:sz w:val="16"/>
          <w:szCs w:val="16"/>
        </w:rPr>
      </w:pPr>
      <w:r>
        <w:rPr>
          <w:rFonts w:ascii="Arial" w:hAnsi="Arial" w:cs="Arial"/>
          <w:color w:val="000000"/>
          <w:sz w:val="16"/>
          <w:szCs w:val="16"/>
          <w:shd w:val="clear" w:color="auto" w:fill="FFFFFF"/>
        </w:rPr>
        <w:t>Considerando o que dispõe o § 3º do artigo 19 da Lei Complementar Nº 22, que a Secretaria de Estado de Saúde proporcionará ao Conselho as condições para seu pleno e regular funcionamento e lhe dará o suporte técnico, administrativo e financeiro, recursos humanos e matérias, alocando anualmente em seu orçamento as despesas de custeio necessário ao seu funcionamento, que deverá ser elaborado e aprovado pelo Conselho Estadual de Saúde.</w:t>
      </w:r>
    </w:p>
    <w:p w:rsidR="00A6499B" w:rsidRDefault="00A6499B" w:rsidP="00A6499B">
      <w:pPr>
        <w:pStyle w:val="tablepocp0"/>
        <w:spacing w:before="0" w:beforeAutospacing="0" w:after="0" w:afterAutospacing="0"/>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ind w:firstLine="254"/>
        <w:jc w:val="both"/>
        <w:rPr>
          <w:rFonts w:ascii="Arial" w:hAnsi="Arial" w:cs="Arial"/>
          <w:color w:val="000000"/>
          <w:sz w:val="16"/>
          <w:szCs w:val="16"/>
        </w:rPr>
      </w:pPr>
      <w:r>
        <w:rPr>
          <w:rFonts w:ascii="Arial" w:hAnsi="Arial" w:cs="Arial"/>
          <w:color w:val="000000"/>
          <w:sz w:val="16"/>
          <w:szCs w:val="16"/>
          <w:shd w:val="clear" w:color="auto" w:fill="FFFFFF"/>
        </w:rPr>
        <w:t>Considerando o que dispõe o inciso I da quarta diretriz da Resolução 453 de 10 de maio de 2012, que cabe ao Conselho de Saúde deliberar em relação à sua estrutura administrativa e o quadro de pessoal;</w:t>
      </w:r>
    </w:p>
    <w:p w:rsidR="00A6499B" w:rsidRDefault="00A6499B" w:rsidP="00A6499B">
      <w:pPr>
        <w:pStyle w:val="tablepocp0"/>
        <w:spacing w:before="0" w:beforeAutospacing="0" w:after="0" w:afterAutospacing="0"/>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ind w:firstLine="254"/>
        <w:jc w:val="both"/>
        <w:rPr>
          <w:rFonts w:ascii="Arial" w:hAnsi="Arial" w:cs="Arial"/>
          <w:color w:val="000000"/>
          <w:sz w:val="16"/>
          <w:szCs w:val="16"/>
        </w:rPr>
      </w:pPr>
      <w:r>
        <w:rPr>
          <w:rFonts w:ascii="Arial" w:hAnsi="Arial" w:cs="Arial"/>
          <w:color w:val="000000"/>
          <w:sz w:val="16"/>
          <w:szCs w:val="16"/>
          <w:shd w:val="clear" w:color="auto" w:fill="FFFFFF"/>
        </w:rPr>
        <w:t>Considerando</w:t>
      </w:r>
      <w:r>
        <w:rPr>
          <w:rFonts w:ascii="Arial" w:hAnsi="Arial" w:cs="Arial"/>
          <w:b/>
          <w:bCs/>
          <w:color w:val="000000"/>
          <w:sz w:val="16"/>
          <w:szCs w:val="16"/>
          <w:shd w:val="clear" w:color="auto" w:fill="FFFFFF"/>
        </w:rPr>
        <w:t> </w:t>
      </w:r>
      <w:r>
        <w:rPr>
          <w:rFonts w:ascii="Arial" w:hAnsi="Arial" w:cs="Arial"/>
          <w:color w:val="000000"/>
          <w:sz w:val="16"/>
          <w:szCs w:val="16"/>
          <w:shd w:val="clear" w:color="auto" w:fill="FFFFFF"/>
        </w:rPr>
        <w:t>o artigo 13, alínea “a”, parágrafo único, do Regimento Interno do Conselho Estadual de Saúde de Mato Grosso - CES/MT;</w:t>
      </w:r>
    </w:p>
    <w:p w:rsidR="00A6499B" w:rsidRDefault="00A6499B" w:rsidP="00A6499B">
      <w:pPr>
        <w:pStyle w:val="tablepocp0"/>
        <w:spacing w:before="0" w:beforeAutospacing="0" w:after="0" w:afterAutospacing="0"/>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ind w:firstLine="317"/>
        <w:jc w:val="both"/>
        <w:rPr>
          <w:rFonts w:ascii="Arial" w:hAnsi="Arial" w:cs="Arial"/>
          <w:color w:val="000000"/>
          <w:sz w:val="16"/>
          <w:szCs w:val="16"/>
        </w:rPr>
      </w:pPr>
      <w:r>
        <w:rPr>
          <w:rFonts w:ascii="Arial" w:hAnsi="Arial" w:cs="Arial"/>
          <w:color w:val="000000"/>
          <w:sz w:val="16"/>
          <w:szCs w:val="16"/>
          <w:shd w:val="clear" w:color="auto" w:fill="FFFFFF"/>
        </w:rPr>
        <w:t>Considerando</w:t>
      </w:r>
      <w:r>
        <w:rPr>
          <w:rFonts w:ascii="Arial" w:hAnsi="Arial" w:cs="Arial"/>
          <w:b/>
          <w:bCs/>
          <w:color w:val="000000"/>
          <w:sz w:val="16"/>
          <w:szCs w:val="16"/>
          <w:shd w:val="clear" w:color="auto" w:fill="FFFFFF"/>
        </w:rPr>
        <w:t> </w:t>
      </w:r>
      <w:r>
        <w:rPr>
          <w:rFonts w:ascii="Arial" w:hAnsi="Arial" w:cs="Arial"/>
          <w:color w:val="000000"/>
          <w:sz w:val="16"/>
          <w:szCs w:val="16"/>
          <w:shd w:val="clear" w:color="auto" w:fill="FFFFFF"/>
        </w:rPr>
        <w:t>a deliberação do Conselho Pleno do Conselho Estadual de Saúde de Mato Grosso - CES/MT na reunião ordinária de 05 de dezembro de 2018;</w:t>
      </w:r>
    </w:p>
    <w:p w:rsidR="00A6499B" w:rsidRDefault="00A6499B" w:rsidP="00A6499B">
      <w:pPr>
        <w:pStyle w:val="tablepocp0"/>
        <w:spacing w:before="0" w:beforeAutospacing="0" w:after="0" w:afterAutospacing="0"/>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jc w:val="center"/>
        <w:rPr>
          <w:rFonts w:ascii="Arial" w:hAnsi="Arial" w:cs="Arial"/>
          <w:color w:val="000000"/>
          <w:sz w:val="16"/>
          <w:szCs w:val="16"/>
        </w:rPr>
      </w:pPr>
      <w:r>
        <w:rPr>
          <w:rFonts w:ascii="Arial" w:hAnsi="Arial" w:cs="Arial"/>
          <w:b/>
          <w:bCs/>
          <w:color w:val="000000"/>
          <w:sz w:val="16"/>
          <w:szCs w:val="16"/>
          <w:shd w:val="clear" w:color="auto" w:fill="FFFFFF"/>
        </w:rPr>
        <w:t>R E S O L V E:</w:t>
      </w:r>
    </w:p>
    <w:p w:rsidR="00A6499B" w:rsidRDefault="00A6499B" w:rsidP="00A6499B">
      <w:pPr>
        <w:pStyle w:val="tablepocp0"/>
        <w:spacing w:before="0" w:beforeAutospacing="0" w:after="0" w:afterAutospacing="0"/>
        <w:jc w:val="center"/>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jc w:val="both"/>
        <w:rPr>
          <w:rFonts w:ascii="Arial" w:hAnsi="Arial" w:cs="Arial"/>
          <w:color w:val="000000"/>
          <w:sz w:val="16"/>
          <w:szCs w:val="16"/>
        </w:rPr>
      </w:pPr>
      <w:r>
        <w:rPr>
          <w:rFonts w:ascii="Arial" w:hAnsi="Arial" w:cs="Arial"/>
          <w:b/>
          <w:bCs/>
          <w:color w:val="000000"/>
          <w:sz w:val="16"/>
          <w:szCs w:val="16"/>
          <w:shd w:val="clear" w:color="auto" w:fill="FFFFFF"/>
        </w:rPr>
        <w:t>Art.1º -</w:t>
      </w:r>
      <w:r>
        <w:rPr>
          <w:rFonts w:ascii="Arial" w:hAnsi="Arial" w:cs="Arial"/>
          <w:color w:val="000000"/>
          <w:sz w:val="16"/>
          <w:szCs w:val="16"/>
          <w:shd w:val="clear" w:color="auto" w:fill="FFFFFF"/>
        </w:rPr>
        <w:t> Que o controle de frequência e assiduidade dos servidores lotados no Conselho Estadual de Saúde de MT deverá ficar sob a responsabilidade deste, a quem caberá enviar mensalmente os relatórios de frequências ao setor de Recursos Humanos da Secretaria de Estado de Saúde com as devidas justificativas quando houver, tendo em vista as especificidades dos trabalhos realizados pelo setor.</w:t>
      </w:r>
    </w:p>
    <w:p w:rsidR="00A6499B" w:rsidRDefault="00A6499B" w:rsidP="00A6499B">
      <w:pPr>
        <w:pStyle w:val="tablepocp0"/>
        <w:spacing w:before="0" w:beforeAutospacing="0" w:after="0" w:afterAutospacing="0"/>
        <w:jc w:val="both"/>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jc w:val="both"/>
        <w:rPr>
          <w:rFonts w:ascii="Arial" w:hAnsi="Arial" w:cs="Arial"/>
          <w:color w:val="000000"/>
          <w:sz w:val="16"/>
          <w:szCs w:val="16"/>
        </w:rPr>
      </w:pPr>
      <w:r>
        <w:rPr>
          <w:rFonts w:ascii="Arial" w:hAnsi="Arial" w:cs="Arial"/>
          <w:b/>
          <w:bCs/>
          <w:color w:val="000000"/>
          <w:sz w:val="16"/>
          <w:szCs w:val="16"/>
          <w:shd w:val="clear" w:color="auto" w:fill="FFFFFF"/>
        </w:rPr>
        <w:t>Art. 2º -</w:t>
      </w:r>
      <w:r>
        <w:rPr>
          <w:rFonts w:ascii="Arial" w:hAnsi="Arial" w:cs="Arial"/>
          <w:color w:val="000000"/>
          <w:sz w:val="16"/>
          <w:szCs w:val="16"/>
          <w:shd w:val="clear" w:color="auto" w:fill="FFFFFF"/>
        </w:rPr>
        <w:t> Esta Resolução entra em vigor na data de sua assinatura.</w:t>
      </w:r>
    </w:p>
    <w:p w:rsidR="00A6499B" w:rsidRDefault="00A6499B" w:rsidP="00A6499B">
      <w:pPr>
        <w:pStyle w:val="tablepocp0"/>
        <w:spacing w:before="0" w:beforeAutospacing="0" w:after="0" w:afterAutospacing="0"/>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jc w:val="both"/>
        <w:rPr>
          <w:rFonts w:ascii="Arial" w:hAnsi="Arial" w:cs="Arial"/>
          <w:color w:val="000000"/>
          <w:sz w:val="16"/>
          <w:szCs w:val="16"/>
        </w:rPr>
      </w:pPr>
      <w:r>
        <w:rPr>
          <w:rFonts w:ascii="Arial" w:hAnsi="Arial" w:cs="Arial"/>
          <w:b/>
          <w:bCs/>
          <w:color w:val="000000"/>
          <w:sz w:val="16"/>
          <w:szCs w:val="16"/>
          <w:shd w:val="clear" w:color="auto" w:fill="FFFFFF"/>
        </w:rPr>
        <w:t>Art. 3º - </w:t>
      </w:r>
      <w:r>
        <w:rPr>
          <w:rFonts w:ascii="Arial" w:hAnsi="Arial" w:cs="Arial"/>
          <w:color w:val="000000"/>
          <w:sz w:val="16"/>
          <w:szCs w:val="16"/>
          <w:shd w:val="clear" w:color="auto" w:fill="FFFFFF"/>
        </w:rPr>
        <w:t>Revogam-se as disposições em contrário.</w:t>
      </w:r>
    </w:p>
    <w:p w:rsidR="00A6499B" w:rsidRDefault="00A6499B" w:rsidP="00A6499B">
      <w:pPr>
        <w:pStyle w:val="tablepocp0"/>
        <w:spacing w:before="0" w:beforeAutospacing="0" w:after="0" w:afterAutospacing="0"/>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jc w:val="both"/>
        <w:rPr>
          <w:rFonts w:ascii="Arial" w:hAnsi="Arial" w:cs="Arial"/>
          <w:color w:val="000000"/>
          <w:sz w:val="16"/>
          <w:szCs w:val="16"/>
        </w:rPr>
      </w:pPr>
      <w:r>
        <w:rPr>
          <w:rFonts w:ascii="Arial" w:hAnsi="Arial" w:cs="Arial"/>
          <w:b/>
          <w:bCs/>
          <w:color w:val="000000"/>
          <w:sz w:val="16"/>
          <w:szCs w:val="16"/>
          <w:shd w:val="clear" w:color="auto" w:fill="FFFFFF"/>
        </w:rPr>
        <w:t>Registrada, Publicada, Cumpra-se.</w:t>
      </w:r>
    </w:p>
    <w:p w:rsidR="00A6499B" w:rsidRDefault="00A6499B" w:rsidP="00A6499B">
      <w:pPr>
        <w:pStyle w:val="tablepocp0"/>
        <w:spacing w:before="0" w:beforeAutospacing="0" w:after="0" w:afterAutospacing="0"/>
        <w:jc w:val="both"/>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jc w:val="both"/>
        <w:rPr>
          <w:rFonts w:ascii="Arial" w:hAnsi="Arial" w:cs="Arial"/>
          <w:color w:val="000000"/>
          <w:sz w:val="16"/>
          <w:szCs w:val="16"/>
        </w:rPr>
      </w:pPr>
      <w:r>
        <w:rPr>
          <w:rFonts w:ascii="Arial" w:hAnsi="Arial" w:cs="Arial"/>
          <w:b/>
          <w:bCs/>
          <w:color w:val="000000"/>
          <w:sz w:val="16"/>
          <w:szCs w:val="16"/>
          <w:shd w:val="clear" w:color="auto" w:fill="FFFFFF"/>
        </w:rPr>
        <w:t>Cuiabá -MT, (data).</w:t>
      </w:r>
    </w:p>
    <w:p w:rsidR="00A6499B" w:rsidRDefault="00A6499B" w:rsidP="00A6499B">
      <w:pPr>
        <w:pStyle w:val="tablepocp0"/>
        <w:spacing w:before="0" w:beforeAutospacing="0" w:after="0" w:afterAutospacing="0"/>
        <w:jc w:val="both"/>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jc w:val="center"/>
        <w:rPr>
          <w:rFonts w:ascii="Arial" w:hAnsi="Arial" w:cs="Arial"/>
          <w:color w:val="000000"/>
          <w:sz w:val="16"/>
          <w:szCs w:val="16"/>
        </w:rPr>
      </w:pPr>
      <w:r>
        <w:rPr>
          <w:rFonts w:ascii="Arial" w:hAnsi="Arial" w:cs="Arial"/>
          <w:i/>
          <w:iCs/>
          <w:color w:val="000000"/>
          <w:sz w:val="16"/>
          <w:szCs w:val="16"/>
          <w:shd w:val="clear" w:color="auto" w:fill="FFFFFF"/>
        </w:rPr>
        <w:t>(</w:t>
      </w:r>
      <w:proofErr w:type="gramStart"/>
      <w:r>
        <w:rPr>
          <w:rFonts w:ascii="Arial" w:hAnsi="Arial" w:cs="Arial"/>
          <w:i/>
          <w:iCs/>
          <w:color w:val="000000"/>
          <w:sz w:val="16"/>
          <w:szCs w:val="16"/>
          <w:shd w:val="clear" w:color="auto" w:fill="FFFFFF"/>
        </w:rPr>
        <w:t>original</w:t>
      </w:r>
      <w:proofErr w:type="gramEnd"/>
      <w:r>
        <w:rPr>
          <w:rFonts w:ascii="Arial" w:hAnsi="Arial" w:cs="Arial"/>
          <w:i/>
          <w:iCs/>
          <w:color w:val="000000"/>
          <w:sz w:val="16"/>
          <w:szCs w:val="16"/>
          <w:shd w:val="clear" w:color="auto" w:fill="FFFFFF"/>
        </w:rPr>
        <w:t xml:space="preserve"> assinado)</w:t>
      </w:r>
    </w:p>
    <w:p w:rsidR="00A6499B" w:rsidRDefault="00A6499B" w:rsidP="00A6499B">
      <w:pPr>
        <w:pStyle w:val="tablepocp0"/>
        <w:spacing w:before="0" w:beforeAutospacing="0" w:after="0" w:afterAutospacing="0"/>
        <w:jc w:val="center"/>
        <w:rPr>
          <w:rFonts w:ascii="Arial" w:hAnsi="Arial" w:cs="Arial"/>
          <w:color w:val="000000"/>
          <w:sz w:val="16"/>
          <w:szCs w:val="16"/>
        </w:rPr>
      </w:pPr>
      <w:r>
        <w:rPr>
          <w:rFonts w:ascii="Arial" w:hAnsi="Arial" w:cs="Arial"/>
          <w:color w:val="000000"/>
          <w:sz w:val="16"/>
          <w:szCs w:val="16"/>
          <w:shd w:val="clear" w:color="auto" w:fill="FFFFFF"/>
        </w:rPr>
        <w:t>Mário Lúcio Guimarães de Jesus</w:t>
      </w:r>
    </w:p>
    <w:p w:rsidR="00A6499B" w:rsidRDefault="00A6499B" w:rsidP="00A6499B">
      <w:pPr>
        <w:pStyle w:val="tablepocp0"/>
        <w:spacing w:before="0" w:beforeAutospacing="0" w:after="0" w:afterAutospacing="0"/>
        <w:jc w:val="center"/>
        <w:rPr>
          <w:rFonts w:ascii="Arial" w:hAnsi="Arial" w:cs="Arial"/>
          <w:color w:val="000000"/>
          <w:sz w:val="16"/>
          <w:szCs w:val="16"/>
        </w:rPr>
      </w:pPr>
      <w:r>
        <w:rPr>
          <w:rFonts w:ascii="Arial" w:hAnsi="Arial" w:cs="Arial"/>
          <w:b/>
          <w:bCs/>
          <w:color w:val="000000"/>
          <w:sz w:val="16"/>
          <w:szCs w:val="16"/>
          <w:shd w:val="clear" w:color="auto" w:fill="FFFFFF"/>
        </w:rPr>
        <w:t>Presidente Ad Hoc do Conselho Estadual de Saúde</w:t>
      </w:r>
    </w:p>
    <w:p w:rsidR="00A6499B" w:rsidRDefault="00A6499B" w:rsidP="00A6499B">
      <w:pPr>
        <w:pStyle w:val="tablepocp0"/>
        <w:spacing w:before="0" w:beforeAutospacing="0" w:after="0" w:afterAutospacing="0"/>
        <w:jc w:val="center"/>
        <w:rPr>
          <w:rFonts w:ascii="Arial" w:hAnsi="Arial" w:cs="Arial"/>
          <w:color w:val="000000"/>
          <w:sz w:val="16"/>
          <w:szCs w:val="16"/>
        </w:rPr>
      </w:pPr>
      <w:r>
        <w:rPr>
          <w:rFonts w:ascii="Arial" w:hAnsi="Arial" w:cs="Arial"/>
          <w:color w:val="000000"/>
          <w:sz w:val="16"/>
          <w:szCs w:val="16"/>
          <w:shd w:val="clear" w:color="auto" w:fill="FFFFFF"/>
        </w:rPr>
        <w:t> </w:t>
      </w:r>
    </w:p>
    <w:p w:rsidR="00A6499B" w:rsidRDefault="00A6499B" w:rsidP="00A6499B">
      <w:pPr>
        <w:pStyle w:val="tablepocp0"/>
        <w:spacing w:before="0" w:beforeAutospacing="0" w:after="0" w:afterAutospacing="0"/>
        <w:rPr>
          <w:rFonts w:ascii="Arial" w:hAnsi="Arial" w:cs="Arial"/>
          <w:color w:val="000000"/>
          <w:sz w:val="16"/>
          <w:szCs w:val="16"/>
        </w:rPr>
      </w:pPr>
      <w:r>
        <w:rPr>
          <w:rFonts w:ascii="Arial" w:hAnsi="Arial" w:cs="Arial"/>
          <w:color w:val="000000"/>
          <w:sz w:val="16"/>
          <w:szCs w:val="16"/>
          <w:shd w:val="clear" w:color="auto" w:fill="FFFFFF"/>
        </w:rPr>
        <w:t>Homologada:</w:t>
      </w:r>
    </w:p>
    <w:p w:rsidR="00A6499B" w:rsidRDefault="00A6499B" w:rsidP="00A6499B">
      <w:pPr>
        <w:pStyle w:val="tablepocp0"/>
        <w:spacing w:before="0" w:beforeAutospacing="0" w:after="0" w:afterAutospacing="0"/>
        <w:jc w:val="center"/>
        <w:rPr>
          <w:rFonts w:ascii="Arial" w:hAnsi="Arial" w:cs="Arial"/>
          <w:color w:val="000000"/>
          <w:sz w:val="16"/>
          <w:szCs w:val="16"/>
        </w:rPr>
      </w:pPr>
      <w:r>
        <w:rPr>
          <w:rFonts w:ascii="Arial" w:hAnsi="Arial" w:cs="Arial"/>
          <w:i/>
          <w:iCs/>
          <w:color w:val="000000"/>
          <w:sz w:val="16"/>
          <w:szCs w:val="16"/>
          <w:shd w:val="clear" w:color="auto" w:fill="FFFFFF"/>
        </w:rPr>
        <w:t>(</w:t>
      </w:r>
      <w:proofErr w:type="gramStart"/>
      <w:r>
        <w:rPr>
          <w:rFonts w:ascii="Arial" w:hAnsi="Arial" w:cs="Arial"/>
          <w:i/>
          <w:iCs/>
          <w:color w:val="000000"/>
          <w:sz w:val="16"/>
          <w:szCs w:val="16"/>
          <w:shd w:val="clear" w:color="auto" w:fill="FFFFFF"/>
        </w:rPr>
        <w:t>original</w:t>
      </w:r>
      <w:proofErr w:type="gramEnd"/>
      <w:r>
        <w:rPr>
          <w:rFonts w:ascii="Arial" w:hAnsi="Arial" w:cs="Arial"/>
          <w:i/>
          <w:iCs/>
          <w:color w:val="000000"/>
          <w:sz w:val="16"/>
          <w:szCs w:val="16"/>
          <w:shd w:val="clear" w:color="auto" w:fill="FFFFFF"/>
        </w:rPr>
        <w:t xml:space="preserve"> assinado)</w:t>
      </w:r>
    </w:p>
    <w:p w:rsidR="00A6499B" w:rsidRDefault="00A6499B" w:rsidP="00A6499B">
      <w:pPr>
        <w:pStyle w:val="tablepocp0"/>
        <w:spacing w:before="0" w:beforeAutospacing="0" w:after="0" w:afterAutospacing="0"/>
        <w:jc w:val="center"/>
        <w:rPr>
          <w:rFonts w:ascii="Arial" w:hAnsi="Arial" w:cs="Arial"/>
          <w:color w:val="000000"/>
          <w:sz w:val="16"/>
          <w:szCs w:val="16"/>
        </w:rPr>
      </w:pPr>
      <w:r>
        <w:rPr>
          <w:rFonts w:ascii="Arial" w:hAnsi="Arial" w:cs="Arial"/>
          <w:color w:val="000000"/>
          <w:sz w:val="16"/>
          <w:szCs w:val="16"/>
          <w:shd w:val="clear" w:color="auto" w:fill="FFFFFF"/>
        </w:rPr>
        <w:t>Mauro Mendes Ferreira</w:t>
      </w:r>
    </w:p>
    <w:p w:rsidR="00A6499B" w:rsidRDefault="00A6499B" w:rsidP="00A6499B">
      <w:pPr>
        <w:pStyle w:val="tablepocp0"/>
        <w:spacing w:before="0" w:beforeAutospacing="0" w:after="0" w:afterAutospacing="0"/>
        <w:jc w:val="center"/>
        <w:rPr>
          <w:rFonts w:ascii="Arial" w:hAnsi="Arial" w:cs="Arial"/>
          <w:color w:val="000000"/>
          <w:sz w:val="16"/>
          <w:szCs w:val="16"/>
        </w:rPr>
      </w:pPr>
      <w:r>
        <w:rPr>
          <w:rFonts w:ascii="Arial" w:hAnsi="Arial" w:cs="Arial"/>
          <w:color w:val="000000"/>
          <w:sz w:val="16"/>
          <w:szCs w:val="16"/>
          <w:shd w:val="clear" w:color="auto" w:fill="FFFFFF"/>
        </w:rPr>
        <w:t>Governador do Estado de Mato Grosso</w:t>
      </w:r>
    </w:p>
    <w:p w:rsidR="002F2427" w:rsidRDefault="002F2427">
      <w:bookmarkStart w:id="0" w:name="_GoBack"/>
      <w:bookmarkEnd w:id="0"/>
    </w:p>
    <w:sectPr w:rsidR="002F24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9B"/>
    <w:rsid w:val="002F2427"/>
    <w:rsid w:val="00A649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711C4-1AED-41D7-8ED5-D42C5736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ocp0">
    <w:name w:val="tablepocp0"/>
    <w:basedOn w:val="Normal"/>
    <w:rsid w:val="00A6499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82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2406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jairmoreira</dc:creator>
  <cp:keywords/>
  <dc:description/>
  <cp:lastModifiedBy>jairmoreira</cp:lastModifiedBy>
  <cp:revision>1</cp:revision>
  <dcterms:created xsi:type="dcterms:W3CDTF">2019-10-29T16:49:00Z</dcterms:created>
  <dcterms:modified xsi:type="dcterms:W3CDTF">2019-10-29T16:50:00Z</dcterms:modified>
</cp:coreProperties>
</file>